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Johannesburg compartment transport and polymer estimation methods</w:t>
      </w:r>
    </w:p>
    <w:p>
      <w:pPr>
        <w:pStyle w:val="Subtitle"/>
      </w:pPr>
      <w:r>
        <w:t>Methods for Plastinspect model version 0 5</w:t>
      </w:r>
    </w:p>
    <w:p>
      <w:r>
        <w:t>28 October 2026  |  Reference year 2017</w:t>
      </w:r>
    </w:p>
    <w:p>
      <w:r>
        <w:t>We estimate environmental compartment stocks before estimating their polymer composition. The implementation combines the conservation structure of the supplied transport manuscript [1] with South African emissions and source compositions from Schwarz et al. (2023) [2]. It instantiates 21 inland compartments for Johannesburg, distinguishes macroplastic and microplastic, and maintains separate atmospheric and collection fate accounts. The remaining compartment types retain explicit scope or missing data records.</w:t>
      </w:r>
    </w:p>
    <w:p>
      <w:r>
        <w:t>The resulting Johannesburg stock is an assumption dominated scenario. The attachment calibrates selected quantities in the Rhine–Meuse delta, eastern Fram Strait and western Spitsbergen. It supplies no Johannesburg calibration and does not enumerate every parameter needed to reproduce its full network. We therefore document the added routing and effective hazards rather than treating the attachment title as evidence of local validation.</w:t>
      </w:r>
    </w:p>
    <w:p>
      <w:pPr>
        <w:pStyle w:val="Heading2"/>
      </w:pPr>
      <w:r>
        <w:t>Research object and quantities</w:t>
      </w:r>
    </w:p>
    <w:p>
      <w:r>
        <w:t>The administrative selection is City of Johannesburg, Gauteng, South Africa. It determines the published municipal model and legal register. Stock is mass present at a date, in tonnes; first entry, internal transfer, collection and boundary export are annual flows, in tonnes per year. Annual integration turns flow rates into period masses. Source emissions are not added directly to historical stock without transport and accumulation.</w:t>
      </w:r>
    </w:p>
    <w:p>
      <w:r>
        <w:t>Macroplastic is at least 5 mm and microplastic is below 5 mm. The source model retains heterogeneous underlying observation supports. We do not infer mass below an analytical cut off, harmonise all sampling supports, or infer nanoplastic burdens. Eight source material categories are LDPE, HDPE, PP, PS, EPS, PVC, PET and Rubber. EPS is expanded PS; LDPE and HDPE are PE grades. Rubber in the source includes natural and synthetic modified tyre rubber.</w:t>
      </w:r>
    </w:p>
    <w:p>
      <w:pPr>
        <w:pStyle w:val="Heading2"/>
      </w:pPr>
      <w:r>
        <w:t>Scope of the numerical claims</w:t>
      </w:r>
    </w:p>
    <w:p>
      <w:r>
        <w:t>The central end of 2017 Johannesburg inland stock is 138,883.5 t. Its 5th–95th percentile prior sensitivity range is 38,813.8–400,926.3 t. This range is neither a fitted posterior credible interval nor a validated confidence interval. It depends on explicit source allocation, historical growth, transport and collection assumptions.</w:t>
      </w:r>
    </w:p>
    <w:p>
      <w:r>
        <w:t>The website provides reproducible numerical scenarios, source references and a route toward calibration. It does not establish current municipal stocks, locally observed polymer palettes, legal authorisation, recoverability or commercial feasibility. Published operational facts are displayed separately from model outputs.</w:t>
      </w:r>
    </w:p>
    <w:p>
      <w:r>
        <w:br w:type="page"/>
      </w:r>
    </w:p>
    <w:p>
      <w:pPr>
        <w:pStyle w:val="Heading1"/>
      </w:pPr>
      <w:r>
        <w:t>Source data and evidence classification</w:t>
      </w:r>
    </w:p>
    <w:p>
      <w:r>
        <w:t>The primary plastic input is the publisher supplementary CSV3 associated with Schwarz et al. (2023), filtered to South Africa and reference year 2017 [2]. The extraction sums incoming edges to seven environmental receiving endpoints. Those endpoints have no outgoing rows in this country MFA file, so this endpoint extraction does not count its environmental redistribution twice. We retain source values rather than forcing them to match a headline.</w:t>
      </w:r>
    </w:p>
    <w:tbl>
      <w:tblPr>
        <w:tblW w:type="auto" w:w="0"/>
        <w:jc w:val="center"/>
        <w:tblLayout w:type="fixed"/>
        <w:tblLook w:firstColumn="1" w:firstRow="1" w:lastColumn="0" w:lastRow="0" w:noHBand="0" w:noVBand="1" w:val="04A0"/>
      </w:tblPr>
      <w:tblGrid>
        <w:gridCol w:w="4608"/>
        <w:gridCol w:w="2808"/>
        <w:gridCol w:w="2808"/>
      </w:tblGrid>
      <w:tr>
        <w:trPr>
          <w:tblHeade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jc w:val="center"/>
            </w:pPr>
            <w:r>
              <w:rPr>
                <w:b/>
                <w:color w:val="FFFFFF"/>
                <w:sz w:val="18"/>
              </w:rPr>
              <w:t>Source receiving medium</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Macro t per year</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Micro t per year</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Residential soil</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118,276.4</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849.9</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Agricultural soil</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9,816.1</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1,391.8</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Natural soil</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1,484.7</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138.5</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Roadside</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12,346.0</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587.5</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Surface water</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92,524.4</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1,461.7</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Ocean</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6,024.8</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0.0</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Subsurface</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0.0</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30.7</w:t>
            </w:r>
          </w:p>
        </w:tc>
      </w:tr>
      <w:tr>
        <w:trPr>
          <w:cantSplit/>
        </w:trPr>
        <w:tc>
          <w:tcPr>
            <w:tcW w:type="dxa" w:w="46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All seven source media</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240,472.4</w:t>
            </w:r>
          </w:p>
        </w:tc>
        <w:tc>
          <w:tcPr>
            <w:tcW w:type="dxa" w:w="28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4,460.0</w:t>
            </w:r>
          </w:p>
        </w:tc>
      </w:tr>
    </w:tbl>
    <w:p/>
    <w:p>
      <w:r>
        <w:t>The source totals are annual modelled first entry flows, not observed environmental stocks. We interpret the numeric value field as tonnes per year. The CSV header does not state a unit; the interpretation is corroborated by the paper mass scale and companion CSV2, whose environmental 2050 totals reproduce approximately 2.2 Gt macro and 3.1 Gt micro when interpreted as tonnes.</w:t>
      </w:r>
    </w:p>
    <w:p>
      <w:r>
        <w:t>A source inconsistency remains: summing global environmental endpoints in CSV3 gives approximately 10.147 Mt per year, whereas the paper reports 9.5 Mt in its headline. This work does not resolve that difference or use agreement with the headline as validation. Source extraction and inferred units remain audit conditions.</w:t>
      </w:r>
    </w:p>
    <w:p>
      <w:pPr>
        <w:pStyle w:val="Heading2"/>
      </w:pPr>
      <w:r>
        <w:t>Population and operational evidence</w:t>
      </w:r>
    </w:p>
    <w:p>
      <w:r>
        <w:t>The bundled DPME Census2022 layer [3] supplies a Johannesburg population of 4,803,262.03 and a national denominator of 62,027,502.64, summing only nonoverlapping metro and local units. The Johannesburg share is 7.74376176%. The city statistical brief reports population rounded to 4,803,262. Applying 2022 shares to 2017 emissions is an unvalidated hybrid year localisation proxy.</w:t>
      </w:r>
    </w:p>
    <w:p>
      <w:r>
        <w:t>Pikitup reports 1,691,487 tonnes of all waste landfilled and 9.6% dry mixed waste diversion in 2024/25 [4, Table 2, p 36]. These observations are operational context. Mixed paper, plastic, glass and cans are not polymer mass. The amounts are not used to fit the transport model or validate its stocks.</w:t>
      </w:r>
    </w:p>
    <w:p>
      <w:r>
        <w:br w:type="page"/>
      </w:r>
    </w:p>
    <w:p>
      <w:pPr>
        <w:pStyle w:val="Heading1"/>
      </w:pPr>
      <w:r>
        <w:t>Dynamic state equation and conservative integration</w:t>
      </w:r>
    </w:p>
    <w:p>
      <w:r>
        <w:t>The implemented state vector contains 42 inland compartment states, one macro and one micro state for each of C1–C21, plus two atmospheric transit states. It is therefore a 44 state reduced instantiation of a 44 compartment ontology, not an implementation of all 88 environmental compartment and size combinations. The atmosphere is a transit account, not C45.</w:t>
      </w:r>
    </w:p>
    <w:p>
      <w:r>
        <w:t>The dynamic equation is dx/dt = Kx + s(t). A directed effective transfer hazard h from state i to j contributes +h to Kji and −h to Kii. Off diagonal entries are nonnegative. Capture and boundary exit contribute negative diagonal entries and equal positive increments in their corresponding ledgers. Competing processes act simultaneously on a shared state; no sequential subtraction is used to approximate competition.</w:t>
      </w:r>
    </w:p>
    <w:p>
      <w:r>
        <w:t>For a constant accessible pool over an isolated step, the manuscript competing hazard expression is Qk = Bacc × hk / Σh × [1 − exp(−Σh × Δt)] [1, eq 2.7]. The implementation instead integrates the full linear system, including simultaneous arrivals and departures. The local hazards are effective rates: accessibility, exposure and process frequency are absorbed into them. We do not assume that independently unknown accessibility equals one, or claim to identify those components separately.</w:t>
      </w:r>
    </w:p>
    <w:p>
      <w:pPr>
        <w:pStyle w:val="Heading2"/>
      </w:pPr>
      <w:r>
        <w:t>Historical input and exact solution</w:t>
      </w:r>
    </w:p>
    <w:p>
      <w:r>
        <w:t>Let t = 0 be the start of 1950 and T = 68 the end of 2017. The initial stock vector is zero. The central input history is s(t) = s2017 exp[r(t − T)] with r = 0.04 per year. The reference year is changed from the attachment accounting year 2019 to 2017 to match the Schwarz country input file. The history is an explicit extrapolation, not a reconstructed South African time series.</w:t>
      </w:r>
    </w:p>
    <w:p>
      <w:r>
        <w:t>For constant K and exponential forcing, define M = K − rI. The implemented solution is x(t) = exp[r(t − T)] M⁻¹ [exp(Mt) − I] s2017. The matrix exponential is evaluated with SciPy. This is an exact solution of the stated reduced linear system, subject to numerical precision; it does not establish that the physical assumptions are correct.</w:t>
      </w:r>
    </w:p>
    <w:p>
      <w:r>
        <w:t>Opening stock is x(T − 1), closing stock x(T), and integrated external input Q = s2017 [1 − exp(−r)] / r. Integrated state exposure is J = K⁻¹ [x(T) − x(T − 1) − Q]. A directed annual transfer is hijJi. These integrals populate the editable annual ledger. Source input at the reference date and integrated annual input are consequently not numerically identical.</w:t>
      </w:r>
    </w:p>
    <w:p>
      <w:pPr>
        <w:pStyle w:val="Heading2"/>
      </w:pPr>
      <w:r>
        <w:t>Conservation audit</w:t>
      </w:r>
    </w:p>
    <w:p>
      <w:r>
        <w:t>For the full reduced system, closing stock − opening stock = integrated first entry − boundary exit − collected mass with unverified fate. Internal transfers, atmospheric redistribution and macro to micro fragmentation cancel. Terminal loss is set to zero as a model choice; unmeasured disappearance is not fitted as a residual sink. All stocks and integrated exposures are checked for nonnegativity.</w:t>
      </w:r>
    </w:p>
    <w:p>
      <w:r>
        <w:t>The national common network annual numerical residual is 3.35e-10 t, below the 10⁻⁶ t implementation tolerance. Numerical closure validates conservation arithmetic, not local observations or predictive skill.</w:t>
      </w:r>
    </w:p>
    <w:p>
      <w:r>
        <w:br w:type="page"/>
      </w:r>
    </w:p>
    <w:p>
      <w:pPr>
        <w:pStyle w:val="Heading1"/>
      </w:pPr>
      <w:r>
        <w:t>Localisation source routing and polymer palettes</w:t>
      </w:r>
    </w:p>
    <w:p>
      <w:r>
        <w:t>For each original source medium and size class g, a routing column Lg distributes first entry to C1–C21. The column sums to one for each retained inland medium. Ocean input is omitted from the common inland model, rather than allocated to an inland municipality or relabelled as municipal marine stock. The following mapping is an added assumption, not a mapping supplied by Schwarz or calibrated by the attachment.</w:t>
      </w:r>
    </w:p>
    <w:tbl>
      <w:tblPr>
        <w:tblW w:type="auto" w:w="0"/>
        <w:jc w:val="center"/>
        <w:tblLayout w:type="fixed"/>
        <w:tblLook w:firstColumn="1" w:firstRow="1" w:lastColumn="0" w:lastRow="0" w:noHBand="0" w:noVBand="1" w:val="04A0"/>
      </w:tblPr>
      <w:tblGrid>
        <w:gridCol w:w="2880"/>
        <w:gridCol w:w="7344"/>
      </w:tblGrid>
      <w:tr>
        <w:trPr>
          <w:tblHeade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Source medium</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Assumed destination shares</w:t>
            </w:r>
          </w:p>
        </w:tc>
      </w:tr>
      <w:tr>
        <w:trP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Residential soil</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C1 60%, C2 10%, C6 10%, C7 5%, C8 5%, C10 10%</w:t>
            </w:r>
          </w:p>
        </w:tc>
      </w:tr>
      <w:tr>
        <w:trP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Agricultural soil</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C3 100%</w:t>
            </w:r>
          </w:p>
        </w:tc>
      </w:tr>
      <w:tr>
        <w:trP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Natural soil</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C4 65%, C5 35%</w:t>
            </w:r>
          </w:p>
        </w:tc>
      </w:tr>
      <w:tr>
        <w:trP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Roadside</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C6 100%</w:t>
            </w:r>
          </w:p>
        </w:tc>
      </w:tr>
      <w:tr>
        <w:trP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Surface water</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C11 15%, C12 45%, C16 20%, C19 20%</w:t>
            </w:r>
          </w:p>
        </w:tc>
      </w:tr>
      <w:tr>
        <w:trP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Subsurface</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C21 100%</w:t>
            </w:r>
          </w:p>
        </w:tc>
      </w:tr>
      <w:tr>
        <w:trPr>
          <w:cantSplit/>
        </w:trPr>
        <w:tc>
          <w:tcPr>
            <w:tcW w:type="dxa" w:w="288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Ocean</w:t>
            </w:r>
          </w:p>
        </w:tc>
        <w:tc>
          <w:tcPr>
            <w:tcW w:type="dxa" w:w="734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Excluded from inland model</w:t>
            </w:r>
          </w:p>
        </w:tc>
      </w:tr>
    </w:tbl>
    <w:p/>
    <w:p>
      <w:r>
        <w:t>Johannesburg source input is the national routed source multiplied by its Census2022 population share. Each province is calculated with its own share using the same process and routing parameters. Consequently, provincial differences in this comparison reflect population allocation, not empirically estimated differences in land cover, hydrology or management. The national total is a common inland scenario, not a complete national environmental inventory. Boundary exits may remain in unmodelled downstream South African environments.</w:t>
      </w:r>
    </w:p>
    <w:p>
      <w:pPr>
        <w:pStyle w:val="Heading2"/>
      </w:pPr>
      <w:r>
        <w:t>Stocks are estimated before polymer masses</w:t>
      </w:r>
    </w:p>
    <w:p>
      <w:r>
        <w:t>We first solve the aggregate compartment stock model. To recover the contribution from each source and initial size class, the same linear system is solved for 14 source columns, corresponding to seven media and two sizes, with the ocean columns zero. Let Xig be the resulting contribution of source g to state i and qgp its normalised eight material source mass fraction. Compartment polymer mass is Bjp = Σg (XjM,g + Xjμ,g) qgp. Macro and micro palettes are computed separately and then summed.</w:t>
      </w:r>
    </w:p>
    <w:p>
      <w:r>
        <w:t>This is source attribution through a linear network, rather than applying one arbitrary national composition to every compartment. Fragmented macro material retains its polymer identity when entering micro stock. Each palette sums to its calculated compartment stock. A source polymer with zero input remains zero in that source contribution, but zero model input is not evidence of local absence.</w:t>
      </w:r>
    </w:p>
    <w:p>
      <w:r>
        <w:t>Transport hazards are shared across polymers. We do not implement the paper density based transport fractions as if they were locally validated Johannesburg rates. Polymer density, additives, weathering, selective settling, degradation and locally sampled composition are unresolved. Therefore the modelled palette is a conditional source weighted allocation, not a measured environmental mixture.</w:t>
      </w:r>
    </w:p>
    <w:p>
      <w:r>
        <w:br w:type="page"/>
      </w:r>
    </w:p>
    <w:p>
      <w:pPr>
        <w:pStyle w:val="Heading1"/>
      </w:pPr>
      <w:r>
        <w:t>Transfer parameter register</w:t>
      </w:r>
    </w:p>
    <w:p>
      <w:r>
        <w:t>All rates in this table are assumed effective hazards in yr⁻¹. They are additional implementation parameters. The attachment does not provide this complete Johannesburg network; these values must not be cited as its calibrated coefficients. The origin and destination are environmental compartment codes. A zero entry disables that pathway for the relevant size class.</w:t>
      </w:r>
    </w:p>
    <w:tbl>
      <w:tblPr>
        <w:tblW w:type="auto" w:w="0"/>
        <w:jc w:val="center"/>
        <w:tblLayout w:type="fixed"/>
        <w:tblLook w:firstColumn="1" w:firstRow="1" w:lastColumn="0" w:lastRow="0" w:noHBand="0" w:noVBand="1" w:val="04A0"/>
      </w:tblPr>
      <w:tblGrid>
        <w:gridCol w:w="1584"/>
        <w:gridCol w:w="1584"/>
        <w:gridCol w:w="3528"/>
        <w:gridCol w:w="3528"/>
      </w:tblGrid>
      <w:tr>
        <w:trPr>
          <w:tblHeade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243746"/>
          </w:tcPr>
          <w:p>
            <w:pPr>
              <w:spacing w:after="0" w:line="245" w:lineRule="auto"/>
              <w:jc w:val="center"/>
            </w:pPr>
            <w:r>
              <w:rPr>
                <w:b/>
                <w:color w:val="FFFFFF"/>
                <w:sz w:val="18"/>
              </w:rPr>
              <w:t>From</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243746"/>
          </w:tcPr>
          <w:p>
            <w:pPr>
              <w:spacing w:after="0" w:line="245" w:lineRule="auto"/>
            </w:pPr>
            <w:r>
              <w:rPr>
                <w:b/>
                <w:color w:val="FFFFFF"/>
                <w:sz w:val="18"/>
              </w:rPr>
              <w:t>To</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243746"/>
          </w:tcPr>
          <w:p>
            <w:pPr>
              <w:spacing w:after="0" w:line="245" w:lineRule="auto"/>
            </w:pPr>
            <w:r>
              <w:rPr>
                <w:b/>
                <w:color w:val="FFFFFF"/>
                <w:sz w:val="18"/>
              </w:rPr>
              <w:t>Macro hazard</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243746"/>
          </w:tcPr>
          <w:p>
            <w:pPr>
              <w:spacing w:after="0" w:line="245" w:lineRule="auto"/>
            </w:pPr>
            <w:r>
              <w:rPr>
                <w:b/>
                <w:color w:val="FFFFFF"/>
                <w:sz w:val="18"/>
              </w:rPr>
              <w:t>Micro hazard</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0.25</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0.15</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C2</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C3</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0.04</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0.02</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C4</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C5</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0.005</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C6</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0.3</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0.2</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C7</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0.08</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0.04</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C8</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0.06</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0.04</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C9</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C10</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0.7</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0.4</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C10</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C14</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0.25</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C11</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1.5</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1.2</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C11</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C9</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0.05</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C12</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C13</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0.3</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0.4</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C12</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C15</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0.4</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C12</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C16</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C13</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C14</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0.5</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1.0</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C14</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C13</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0.03</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C15</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0.08</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C16</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C17</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0.15</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0.3</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C16</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C18</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0.2</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C16</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C17</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C18</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0.3</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0.6</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C17</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C12</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0.08</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C18</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C17</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C19</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C20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0.3</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0.6</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C19</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C20</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C19</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0.005</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C21</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C11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0.02</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C3</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C21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0.001</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jc w:val="center"/>
            </w:pPr>
            <w:r>
              <w:rPr>
                <w:b w:val="0"/>
                <w:color w:val="000000"/>
                <w:sz w:val="18"/>
              </w:rPr>
              <w:t>C4</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C21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2F5F7"/>
          </w:tcPr>
          <w:p>
            <w:pPr>
              <w:spacing w:after="0" w:line="245" w:lineRule="auto"/>
            </w:pPr>
            <w:r>
              <w:rPr>
                <w:b w:val="0"/>
                <w:color w:val="000000"/>
                <w:sz w:val="18"/>
              </w:rPr>
              <w:t>0.0005</w:t>
            </w:r>
          </w:p>
        </w:tc>
      </w:tr>
      <w:tr>
        <w:trPr>
          <w:cantSplit/>
        </w:trPr>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jc w:val="center"/>
            </w:pPr>
            <w:r>
              <w:rPr>
                <w:b w:val="0"/>
                <w:color w:val="000000"/>
                <w:sz w:val="18"/>
              </w:rPr>
              <w:t>C5</w:t>
            </w:r>
          </w:p>
        </w:tc>
        <w:tc>
          <w:tcPr>
            <w:tcW w:type="dxa" w:w="1584"/>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C21</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w:t>
            </w:r>
          </w:p>
        </w:tc>
        <w:tc>
          <w:tcPr>
            <w:tcW w:type="dxa" w:w="3528"/>
            <w:vAlign w:val="center"/>
            <w:tcBorders>
              <w:top w:val="single" w:sz="4" w:color="D9D9D9"/>
              <w:left w:val="single" w:sz="4" w:color="D9D9D9"/>
              <w:bottom w:val="single" w:sz="4" w:color="D9D9D9"/>
              <w:right w:val="single" w:sz="4" w:color="D9D9D9"/>
            </w:tcBorders>
            <w:tcMar>
              <w:top w:w="30" w:type="dxa"/>
              <w:left w:w="70" w:type="dxa"/>
              <w:bottom w:w="30" w:type="dxa"/>
              <w:right w:w="70" w:type="dxa"/>
            </w:tcMar>
            <w:shd w:fill="FFFFFF"/>
          </w:tcPr>
          <w:p>
            <w:pPr>
              <w:spacing w:after="0" w:line="245" w:lineRule="auto"/>
            </w:pPr>
            <w:r>
              <w:rPr>
                <w:b w:val="0"/>
                <w:color w:val="000000"/>
                <w:sz w:val="18"/>
              </w:rPr>
              <w:t>0.0002</w:t>
            </w:r>
          </w:p>
        </w:tc>
      </w:tr>
    </w:tbl>
    <w:p/>
    <w:p>
      <w:r>
        <w:t>The network is a reduced routing scenario. It lumps surface and subsurface pools and does not calculate discharge dependent advection, explicit depth layers, sediment erosion thresholds, flood events, lake stratification or groundwater attachment kinetics. Geometry and locally observed forcing would be required to replace these effective hazards with the full compartment process operators of the manuscript.</w:t>
      </w:r>
    </w:p>
    <w:p>
      <w:r>
        <w:br w:type="page"/>
      </w:r>
    </w:p>
    <w:p>
      <w:pPr>
        <w:pStyle w:val="Heading1"/>
      </w:pPr>
      <w:r>
        <w:t>Fragmentation collection transit and uncertainty parameters</w:t>
      </w:r>
    </w:p>
    <w:tbl>
      <w:tblPr>
        <w:tblW w:type="auto" w:w="0"/>
        <w:jc w:val="center"/>
        <w:tblLayout w:type="fixed"/>
        <w:tblLook w:firstColumn="1" w:firstRow="1" w:lastColumn="0" w:lastRow="0" w:noHBand="0" w:noVBand="1" w:val="04A0"/>
      </w:tblPr>
      <w:tblGrid>
        <w:gridCol w:w="1800"/>
        <w:gridCol w:w="4464"/>
        <w:gridCol w:w="3960"/>
      </w:tblGrid>
      <w:tr>
        <w:trPr>
          <w:tblHeade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jc w:val="center"/>
            </w:pPr>
            <w:r>
              <w:rPr>
                <w:b/>
                <w:color w:val="FFFFFF"/>
                <w:sz w:val="18"/>
              </w:rPr>
              <w:t>Process</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Central specification</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Evidence status</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Land fragmentation</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C1–C9: 0.02 per year macro to micro</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Generic family prior median from [1, Table E.2]; local transfer assumed</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Water fragmentation</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C10–C21: 0.005 per year macro to micro</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Generic family prior median from [1, Table E.2]; local transfer assumed</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Boundary exit</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C12: 2/year both sizes; C13: 1.5/year both sizes</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Assumed exit from modelled inland network; not necessarily exit from South Africa</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Macro collection</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C1 .15; C2 .10; C6 .10; C7 .02; C8 .02; C10 .15; C15 .05 per year</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All assumed; micro collection disabled; no operational calibration</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Atmospheric emission</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C1–C8: macro .001/year; micro .005/year</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Assumed internal transfer to atmospheric transit</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Atmospheric deposition</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0.8/year; receivers C1 35%, C3 25%, C4 15%, C5 15%, C6 10%</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Assumed; redeposition is not first entry</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Atmospheric boundary exit</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0.2/year from either atmospheric state</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Assumed exit from accounting domain</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Collection fate</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Unverified fraction 1; verified secure or recovery fraction 0</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No credit for verified removal without documented destinations</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Terminal polymer loss</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0 in this scenario</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Process disabled; unknown disappearance not used for closure</w:t>
            </w:r>
          </w:p>
        </w:tc>
      </w:tr>
      <w:tr>
        <w:trPr>
          <w:cantSplit/>
        </w:trPr>
        <w:tc>
          <w:tcPr>
            <w:tcW w:type="dxa" w:w="18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Groundwater macro</w:t>
            </w:r>
          </w:p>
        </w:tc>
        <w:tc>
          <w:tcPr>
            <w:tcW w:type="dxa" w:w="4464"/>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No direct or incoming macro pathway to C21</w:t>
            </w:r>
          </w:p>
        </w:tc>
        <w:tc>
          <w:tcPr>
            <w:tcW w:type="dxa" w:w="396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Filtration assumption; karst and fracture exceptions unresolved</w:t>
            </w:r>
          </w:p>
        </w:tc>
      </w:tr>
    </w:tbl>
    <w:p/>
    <w:p>
      <w:pPr>
        <w:pStyle w:val="Heading2"/>
      </w:pPr>
      <w:r>
        <w:t>Prior sensitivity propagation</w:t>
      </w:r>
    </w:p>
    <w:p>
      <w:r>
        <w:t>We use 192 pseudorandom draws with seed 20261028. Input scale is lognormal with median 1 and log scale SD 0.7. Common mobility and capture multipliers are independent lognormal draws with median 1 and log scale SD 0.7. A common fragmentation multiplier is lognormal with median 1 and log scale SD 1. Growth r is uniform on 0.02–0.06 per year. The growth and fragmentation families follow the attachment; the remaining spread choices are added sensitivity assumptions.</w:t>
      </w:r>
    </w:p>
    <w:p>
      <w:r>
        <w:t>Within a draw, each common multiplier applies to its full process family, so hazards within that family are correlated. We report the 5th and 95th percentiles of each stock or subtotal. The aggregate interval is calculated from aggregate draws, not by summing individual bounds. These are sensitivity or prior propagation ranges; no local likelihood, MCMC fit or posterior update is performed.</w:t>
      </w:r>
    </w:p>
    <w:p>
      <w:r>
        <w:t>Routing shares, source composition, boundary definitions and the population proxy are held fixed in these draws. Their structural uncertainty is therefore omitted from the numeric ranges. The intervals must not be interpreted as encompassing all uncertainty or as probabilistic coverage guarantees.</w:t>
      </w:r>
    </w:p>
    <w:p>
      <w:r>
        <w:br w:type="page"/>
      </w:r>
    </w:p>
    <w:p>
      <w:pPr>
        <w:pStyle w:val="Heading1"/>
      </w:pPr>
      <w:r>
        <w:t>Johannesburg compartment estimates</w:t>
      </w:r>
    </w:p>
    <w:p>
      <w:r>
        <w:t>All values below are end of 2017 scenario stocks in tonnes. Every quantified row is assumption dominated. Values are displayed to one decimal place for auditability; their number of displayed digits does not imply corresponding empirical precision. C21 macro is excluded by the filtration assumption, not observed as zero.</w:t>
      </w:r>
    </w:p>
    <w:tbl>
      <w:tblPr>
        <w:tblW w:type="auto" w:w="0"/>
        <w:jc w:val="center"/>
        <w:tblLayout w:type="fixed"/>
        <w:tblLook w:firstColumn="1" w:firstRow="1" w:lastColumn="0" w:lastRow="0" w:noHBand="0" w:noVBand="1" w:val="04A0"/>
      </w:tblPr>
      <w:tblGrid>
        <w:gridCol w:w="648"/>
        <w:gridCol w:w="4392"/>
        <w:gridCol w:w="1728"/>
        <w:gridCol w:w="1728"/>
        <w:gridCol w:w="1728"/>
      </w:tblGrid>
      <w:tr>
        <w:trPr>
          <w:tblHeade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jc w:val="center"/>
            </w:pPr>
            <w:r>
              <w:rPr>
                <w:b/>
                <w:color w:val="FFFFFF"/>
                <w:sz w:val="18"/>
              </w:rPr>
              <w:t>Code</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Compartment</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Macro t</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Micro t</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Total t</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Urban and Built Surfaces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11,940.8</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1,488.2</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13,429.0</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C2</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Industrial and Commercial Sites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3,259.4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494.9</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3,754.4</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C3</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Agricultural Soils and Cropland</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7,583.8</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3,966.0</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11,549.8</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C4</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Pasture and Grassland</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967.6</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534.1</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1,501.7</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C5</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Forest and Semi-Natural Soils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617.4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387.7</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1,005.1</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C6</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Roadside and Transportation Corridors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4,066.4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558.4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4,624.8</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C7</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Open Dumpsites and Uncontrolled Landfills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2,844.4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703.5</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3,547.9</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C8</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Construction and Mining Sites and Bare Soils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3,247.7</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796.9</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4,044.6</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C9</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Floodplain and Overbank Soils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716.5</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319.3</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1,035.8</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C10</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Urban Drainage and Stormwater Retention Basins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5,964.4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696.7</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6,661.1</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C11</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Small Streams and Headwaters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3,726.2</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306.0</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4,032.3</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C12</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River Surface Waters and Floating Layers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3,652.2</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198.3</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3,850.5</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C13</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River Water Columns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720.5</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53.6</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774.1</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C14</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River Bed Sediments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12,599.0</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5,332.5</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17,931.5</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C15</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Riverbanks and Riparian Zones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6,793.4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446.3</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7,239.7</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C16</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Lake and Reservoir Surface Waters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4,552.3</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101.9</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4,654.2</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C17</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Lake and Reservoir Water Columns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2,040.1</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94.5</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2,134.6</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C18</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Lake and Reservoir Bottom Sediments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18,546.5</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2,950.4</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21,496.9</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C19</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Wetland and Marsh Surface Waters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3,647.7</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73.0</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3,720.7</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C20</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Wetland Sediments and Peat</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19,130.8</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2,660.0</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21,790.8</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C21</w:t>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Groundwater and Aquifers</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NQ</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103.9</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103.9</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r>
          </w:p>
        </w:tc>
        <w:tc>
          <w:tcPr>
            <w:tcW w:type="dxa" w:w="4392"/>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Inland subtotal</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116,617.2</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22,266.3</w:t>
            </w:r>
          </w:p>
        </w:tc>
        <w:tc>
          <w:tcPr>
            <w:tcW w:type="dxa" w:w="172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138,883.5</w:t>
            </w:r>
          </w:p>
        </w:tc>
      </w:tr>
    </w:tbl>
    <w:p/>
    <w:p>
      <w:r>
        <w:t>The boundary is a declared administrative accounting domain, not a delineated catchment. The revised model does not infer compartment surface areas from the calculated tonnes. Local mapped extents, depths and representativeness would be needed for an observation based concentration to stock estimate. The earlier example based on assumed particle mass and GIS loads is superseded by this source driven transport scenario.</w:t>
      </w:r>
    </w:p>
    <w:p>
      <w:r>
        <w:br w:type="page"/>
      </w:r>
    </w:p>
    <w:p>
      <w:pPr>
        <w:pStyle w:val="Heading1"/>
      </w:pPr>
      <w:r>
        <w:t>Polymer palette of each Johannesburg compartment</w:t>
      </w:r>
    </w:p>
    <w:p>
      <w:r>
        <w:t>Conditional source weighted polymer stock in tonnes. Each row is the sum of its macro and micro palette; the website and CSV also provide the two size classes separately. Values below use one decimal place for auditability; displayed precision is not empirical certainty. All compositions are model allocations, not locally identified mass fractions.</w:t>
      </w:r>
    </w:p>
    <w:tbl>
      <w:tblPr>
        <w:tblW w:type="auto" w:w="0"/>
        <w:jc w:val="center"/>
        <w:tblLayout w:type="fixed"/>
        <w:tblLook w:firstColumn="1" w:firstRow="1" w:lastColumn="0" w:lastRow="0" w:noHBand="0" w:noVBand="1" w:val="04A0"/>
      </w:tblPr>
      <w:tblGrid>
        <w:gridCol w:w="648"/>
        <w:gridCol w:w="1197"/>
        <w:gridCol w:w="1197"/>
        <w:gridCol w:w="1197"/>
        <w:gridCol w:w="1197"/>
        <w:gridCol w:w="1197"/>
        <w:gridCol w:w="1197"/>
        <w:gridCol w:w="1197"/>
        <w:gridCol w:w="1197"/>
      </w:tblGrid>
      <w:tr>
        <w:trPr>
          <w:tblHeade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jc w:val="center"/>
            </w:pPr>
            <w:r>
              <w:rPr>
                <w:b/>
                <w:color w:val="FFFFFF"/>
                <w:sz w:val="18"/>
              </w:rPr>
              <w:t>Code</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LDPE</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HDPE</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PP</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PS</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EPS</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PVC</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PET</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Rubber</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4,150.6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2,466.5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3,131.5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443.1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225.6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384.2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2,619.6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7.8</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1,160.5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690.5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875.1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123.9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63.3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106.6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733.4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1.2</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4,117.1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1,199.7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3,728.1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492.3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35.8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988.1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911.8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76.9</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221.2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290.6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285.2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30.0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32.2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586.4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52.3</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160.1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192.3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195.0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21.0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23.5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377.5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32.6</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931.8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878.1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930.6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113.1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39.5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102.8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1,441.9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187.0</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1,096.8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652.6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826.9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117.0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59.8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100.7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693.2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1,250.4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744.0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942.5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133.4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68.2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114.7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790.4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1.0</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304.9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184.7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241.2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33.2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14.8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33.7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209.1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14.2</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1,909.2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1,233.2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1,508.7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207.9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100.5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181.1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1,464.1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56.4</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1,190.2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728.3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945.6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130.6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59.3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124.5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833.8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19.9</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1,155.9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703.4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900.0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125.7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59.9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114.6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779.1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11.9</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230.4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141.8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179.9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25.1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12.0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22.7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159.2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3.2</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5,152.6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3,271.2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4,057.8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561.4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268.8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504.4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3,789.1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326.3</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2,177.0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1,322.7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1,694.9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236.8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113.5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213.3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1,471.7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9.9</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1,429.0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858.8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1,083.4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153.5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77.5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132.6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914.4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5.0</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655.1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394.2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496.7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70.4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35.5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60.8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419.2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2.7</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C18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6,579.7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3,989.1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4,993.6</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707.3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356.4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613.5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4,208.3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49.1</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C19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1,148.9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688.1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865.0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123.0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63.0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104.9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724.8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3.0</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C20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6,708.0</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4,055.7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5,057.2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718.9</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367.3</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614.8</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4,231.4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37.4</w:t>
            </w:r>
          </w:p>
        </w:tc>
      </w:tr>
      <w:tr>
        <w:trPr>
          <w:cantSplit/>
        </w:trPr>
        <w:tc>
          <w:tcPr>
            <w:tcW w:type="dxa" w:w="6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C21</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25.7</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11.5</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29.4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0.2</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12.4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20.4</w:t>
            </w:r>
          </w:p>
        </w:tc>
        <w:tc>
          <w:tcPr>
            <w:tcW w:type="dxa" w:w="1197"/>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1.8</w:t>
            </w:r>
          </w:p>
        </w:tc>
      </w:tr>
    </w:tbl>
    <w:p/>
    <w:p>
      <w:r>
        <w:t>LDPE and HDPE are polyethylene grades; EPS is an expanded form of polystyrene; Rubber follows the source definition including natural and synthetic tyre rubbers. Other or unknown is retained only for user evidence in the editable ledger and is not silently assigned to Rubber. The legacy nine category IUCN baseline is a separate taxonomy; polyester and synthetic rubber must not be merged into this palette without an evidenced crosswalk.</w:t>
      </w:r>
    </w:p>
    <w:p>
      <w:r>
        <w:t>The calculation preserves full precision internally. Because displayed values are rounded, their visible sums may differ slightly from the compartment subtotal. The fixed source proportions do not quantify palette uncertainty, and no local enrichment multiplier is introduced.</w:t>
      </w:r>
    </w:p>
    <w:p>
      <w:r>
        <w:br w:type="page"/>
      </w:r>
    </w:p>
    <w:p>
      <w:pPr>
        <w:pStyle w:val="Heading1"/>
      </w:pPr>
      <w:r>
        <w:t>National and provincial comparison</w:t>
      </w:r>
    </w:p>
    <w:p>
      <w:r>
        <w:t>The figure compares the common inland scenario with its Gauteng allocation in the same stock units. It is not a comparison of measured national and provincial inventories. The national inland subtotal excludes the source Ocean endpoint and all uninstantiated coastal and marine stocks. National and provincial figures also retain the separate historical 2018 waste and aquatic leakage baseline [6] without treating those flows as stock.</w:t>
      </w:r>
    </w:p>
    <w:p>
      <w:r>
        <w:drawing>
          <wp:inline xmlns:a="http://schemas.openxmlformats.org/drawingml/2006/main" xmlns:pic="http://schemas.openxmlformats.org/drawingml/2006/picture">
            <wp:extent cx="6492240" cy="4297680"/>
            <wp:docPr id="1" name="Picture 1"/>
            <wp:cNvGraphicFramePr>
              <a:graphicFrameLocks noChangeAspect="1"/>
            </wp:cNvGraphicFramePr>
            <a:graphic>
              <a:graphicData uri="http://schemas.openxmlformats.org/drawingml/2006/picture">
                <pic:pic>
                  <pic:nvPicPr>
                    <pic:cNvPr id="0" name="national-gauteng-scenario.png"/>
                    <pic:cNvPicPr/>
                  </pic:nvPicPr>
                  <pic:blipFill>
                    <a:blip r:embed="rId10"/>
                    <a:stretch>
                      <a:fillRect/>
                    </a:stretch>
                  </pic:blipFill>
                  <pic:spPr>
                    <a:xfrm>
                      <a:off x="0" y="0"/>
                      <a:ext cx="6492240" cy="4297680"/>
                    </a:xfrm>
                    <a:prstGeom prst="rect"/>
                  </pic:spPr>
                </pic:pic>
              </a:graphicData>
            </a:graphic>
          </wp:inline>
        </w:drawing>
      </w:r>
    </w:p>
    <w:p>
      <w:pPr>
        <w:pStyle w:val="Caption"/>
      </w:pPr>
      <w:r>
        <w:t>Figure 1  Modelled C1–C21 stocks at end of 2017 using the same parameter set and population allocation</w:t>
      </w:r>
    </w:p>
    <w:tbl>
      <w:tblPr>
        <w:tblW w:type="auto" w:w="0"/>
        <w:jc w:val="center"/>
        <w:tblLayout w:type="fixed"/>
        <w:tblLook w:firstColumn="1" w:firstRow="1" w:lastColumn="0" w:lastRow="0" w:noHBand="0" w:noVBand="1" w:val="04A0"/>
      </w:tblPr>
      <w:tblGrid>
        <w:gridCol w:w="3600"/>
        <w:gridCol w:w="2448"/>
        <w:gridCol w:w="4176"/>
      </w:tblGrid>
      <w:tr>
        <w:trPr>
          <w:tblHeade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jc w:val="center"/>
            </w:pPr>
            <w:r>
              <w:rPr>
                <w:b/>
                <w:color w:val="FFFFFF"/>
                <w:sz w:val="18"/>
              </w:rPr>
              <w:t>Province</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Population share</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Inland stock scenario t</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Eastern Cape</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11.656%</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209,057.2</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Free State</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4.779%</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85,714.3</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Gauteng</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24.343%</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436,591.1</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KwaZulu-Natal</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20.030%</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359,230.1</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Limpopo</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10.596%</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190,046.4</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Mpumalanga</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8.292%</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148,716.2</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North West</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6.134%</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110,006.3</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Northern Cape</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2.186%</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39,206.4</w:t>
            </w:r>
          </w:p>
        </w:tc>
      </w:tr>
      <w:tr>
        <w:trPr>
          <w:cantSplit/>
        </w:trPr>
        <w:tc>
          <w:tcPr>
            <w:tcW w:type="dxa" w:w="3600"/>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Western Cape</w:t>
            </w:r>
          </w:p>
        </w:tc>
        <w:tc>
          <w:tcPr>
            <w:tcW w:type="dxa" w:w="24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11.983%</w:t>
            </w:r>
          </w:p>
        </w:tc>
        <w:tc>
          <w:tcPr>
            <w:tcW w:type="dxa" w:w="4176"/>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214,921.5</w:t>
            </w:r>
          </w:p>
        </w:tc>
      </w:tr>
    </w:tbl>
    <w:p/>
    <w:p>
      <w:r>
        <w:br w:type="page"/>
      </w:r>
    </w:p>
    <w:p>
      <w:pPr>
        <w:pStyle w:val="Heading1"/>
      </w:pPr>
      <w:r>
        <w:t>Uninstantiated compartments and evidence requirements</w:t>
      </w:r>
    </w:p>
    <w:p>
      <w:r>
        <w:t>The 44 compartment registry remains complete as an ontology. Physical absence, exclusion from a comparison domain and absence of observation are separate statuses. No missing stock is filled by redistributing an unexplained balance residual.</w:t>
      </w:r>
    </w:p>
    <w:tbl>
      <w:tblPr>
        <w:tblW w:type="auto" w:w="0"/>
        <w:jc w:val="center"/>
        <w:tblLayout w:type="fixed"/>
        <w:tblLook w:firstColumn="1" w:firstRow="1" w:lastColumn="0" w:lastRow="0" w:noHBand="0" w:noVBand="1" w:val="04A0"/>
      </w:tblPr>
      <w:tblGrid>
        <w:gridCol w:w="1008"/>
        <w:gridCol w:w="4968"/>
        <w:gridCol w:w="4248"/>
      </w:tblGrid>
      <w:tr>
        <w:trPr>
          <w:tblHeade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jc w:val="center"/>
            </w:pPr>
            <w:r>
              <w:rPr>
                <w:b/>
                <w:color w:val="FFFFFF"/>
                <w:sz w:val="18"/>
              </w:rPr>
              <w:t>Codes</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Compartment types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243746"/>
          </w:tcPr>
          <w:p>
            <w:pPr>
              <w:spacing w:after="0" w:line="245" w:lineRule="auto"/>
            </w:pPr>
            <w:r>
              <w:rPr>
                <w:b/>
                <w:color w:val="FFFFFF"/>
                <w:sz w:val="18"/>
              </w:rPr>
              <w:t>Johannesburg treatment</w:t>
            </w:r>
          </w:p>
        </w:tc>
      </w:tr>
      <w:tr>
        <w:trP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C22–C25</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Estuarine surface, column and bed; mangrove and saltmarsh soils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Outside the inland municipal domain</w:t>
            </w:r>
          </w:p>
        </w:tc>
      </w:tr>
      <w:tr>
        <w:trP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C26–C29</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Dry beach, foreshore, tidal flats and coastal dunes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Outside the inland municipal domain</w:t>
            </w:r>
          </w:p>
        </w:tc>
      </w:tr>
      <w:tr>
        <w:trP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C30–C36</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Coastal and open ocean surface and column, microlayer and shelf sediments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Outside the inland municipal domain</w:t>
            </w:r>
          </w:p>
        </w:tc>
      </w:tr>
      <w:tr>
        <w:trP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C37–C40</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Slope and abyssal sediments, canyons, hard substrate hotspots and hadal trenches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Outside the inland municipal domain</w:t>
            </w:r>
          </w:p>
        </w:tc>
      </w:tr>
      <w:tr>
        <w:trP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C41–C42</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Sea ice and ice shelves; mountain glaciers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Outside the inland municipal domain</w:t>
            </w:r>
          </w:p>
        </w:tc>
      </w:tr>
      <w:tr>
        <w:trP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jc w:val="center"/>
            </w:pPr>
            <w:r>
              <w:rPr>
                <w:b w:val="0"/>
                <w:color w:val="000000"/>
                <w:sz w:val="18"/>
              </w:rPr>
              <w:t>C43</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Seasonal snowpacks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FFFFF"/>
          </w:tcPr>
          <w:p>
            <w:pPr>
              <w:spacing w:after="0" w:line="245" w:lineRule="auto"/>
            </w:pPr>
            <w:r>
              <w:rPr>
                <w:b w:val="0"/>
                <w:color w:val="000000"/>
                <w:sz w:val="18"/>
              </w:rPr>
              <w:t>Not quantified; dated local snow presence and support required</w:t>
            </w:r>
          </w:p>
        </w:tc>
      </w:tr>
      <w:tr>
        <w:trPr>
          <w:cantSplit/>
        </w:trPr>
        <w:tc>
          <w:tcPr>
            <w:tcW w:type="dxa" w:w="100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jc w:val="center"/>
            </w:pPr>
            <w:r>
              <w:rPr>
                <w:b w:val="0"/>
                <w:color w:val="000000"/>
                <w:sz w:val="18"/>
              </w:rPr>
              <w:t>C44</w:t>
            </w:r>
          </w:p>
        </w:tc>
        <w:tc>
          <w:tcPr>
            <w:tcW w:type="dxa" w:w="496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Permafrost and high latitude soils</w:t>
            </w:r>
          </w:p>
        </w:tc>
        <w:tc>
          <w:tcPr>
            <w:tcW w:type="dxa" w:w="4248"/>
            <w:vAlign w:val="center"/>
            <w:tcBorders>
              <w:top w:val="single" w:sz="4" w:color="D9D9D9"/>
              <w:left w:val="single" w:sz="4" w:color="D9D9D9"/>
              <w:bottom w:val="single" w:sz="4" w:color="D9D9D9"/>
              <w:right w:val="single" w:sz="4" w:color="D9D9D9"/>
            </w:tcBorders>
            <w:tcMar>
              <w:top w:w="70" w:type="dxa"/>
              <w:left w:w="70" w:type="dxa"/>
              <w:bottom w:w="70" w:type="dxa"/>
              <w:right w:w="70" w:type="dxa"/>
            </w:tcMar>
            <w:shd w:fill="F2F5F7"/>
          </w:tcPr>
          <w:p>
            <w:pPr>
              <w:spacing w:after="0" w:line="245" w:lineRule="auto"/>
            </w:pPr>
            <w:r>
              <w:rPr>
                <w:b w:val="0"/>
                <w:color w:val="000000"/>
                <w:sz w:val="18"/>
              </w:rPr>
              <w:t>Outside the inland municipal domain</w:t>
            </w:r>
          </w:p>
        </w:tc>
      </w:tr>
    </w:tbl>
    <w:p/>
    <w:p>
      <w:pPr>
        <w:pStyle w:val="Heading2"/>
      </w:pPr>
      <w:r>
        <w:t>What would establish a locally calibrated estimate</w:t>
      </w:r>
    </w:p>
    <w:p>
      <w:r>
        <w:t>A local calibration must add independent geometry and environmental forcing, source and pathway observations, mapped compartment supports, explicit measurement recovery and size limits, parameter identification and a separate validation dataset. The manuscript confidence rubric requires mass closure, identifiable parameters, temporal and spatial representativeness, independent predictive validation, observation quality control, management accounting and declared discrepancy [1, Tables 1.3 and 2.4]. These conditions are not satisfied merely by a complete numerical display.</w:t>
      </w:r>
    </w:p>
    <w:p>
      <w:r>
        <w:t>We have not fitted Johannesburg concentrations, discharges, cleaned plastic weights or recycler receipts. No local posterior or High or Medium confidence grade is assigned. Calibration results for the manuscript original control volumes are not transferred as grades. In the attachment, interval coverage alone was insufficient where the river prediction failed its benchmark; this distinction is retained here.</w:t>
      </w:r>
    </w:p>
    <w:p>
      <w:pPr>
        <w:pStyle w:val="Heading2"/>
      </w:pPr>
      <w:r>
        <w:t>Model and measurement remain different evidence classes</w:t>
      </w:r>
    </w:p>
    <w:p>
      <w:r>
        <w:t>Official population and operational waste records are traceable primary context, source MFA emissions are published model outputs, and local hazards and routing are assumptions. Reproducing a source number is a data extraction check. Conservation tests establish numerical consistency. Neither is independent empirical validation of Johannesburg stock or polymer composition.</w:t>
      </w:r>
    </w:p>
    <w:p>
      <w:r>
        <w:br w:type="page"/>
      </w:r>
    </w:p>
    <w:p>
      <w:pPr>
        <w:pStyle w:val="Heading1"/>
      </w:pPr>
      <w:r>
        <w:t>Website implementation reporting and appraisal</w:t>
      </w:r>
    </w:p>
    <w:p>
      <w:r>
        <w:t>Johannesburg is the default municipal workspace. Its default annual ledger contains integrated 2017 stock, transfer, fragmentation, collection and export quantities. Atmospheric emission and redeposition cross that editable ledger boundary, while the full numerical model maintains them in transit states. Editing ledger inputs produces a separate working appraisal and does not rerun or relabel the published scenario. The local browser storage key is versioned so earlier workspaces are not silently overwritten.</w:t>
      </w:r>
    </w:p>
    <w:p>
      <w:r>
        <w:t>Other municipalities remain selectable. Their municipal accounts, project figures and published municipal palettes are suppressed. Provincial scenarios remain accessible through an explicit regional view. District populations are not added to their local children; provincial shares sum to the national denominator. The regional comparison applies common parameters and must not be represented as local environmental heterogeneity.</w:t>
      </w:r>
    </w:p>
    <w:p>
      <w:pPr>
        <w:pStyle w:val="Heading2"/>
      </w:pPr>
      <w:r>
        <w:t>Project and collection fate</w:t>
      </w:r>
    </w:p>
    <w:p>
      <w:r>
        <w:t>The one off planner uses opening macro stock in the selected compartment. Collected mass equals available stock times assumed recovery; accepted mass applies the sorting fraction; potential product applies processing yield. Residual mass equals collected mass minus product. Cost includes fixed costs, collected tonne logistics, accepted tonne processing and residual tonne treatment. Revenue uses output tonnes and an assumed price; funding gap is the positive remainder after entered support.</w:t>
      </w:r>
    </w:p>
    <w:p>
      <w:r>
        <w:t>The default Johannesburg planner has illustrative recovery 10%, sorting acceptance 70%, processing yield 80%, price ZAR4,000/t, collection ZAR1,500/t, processing ZAR1,800/t accepted, residual ZAR700/t and fixed cost ZAR100,000. No grant, producer contribution or match is assumed. These values demonstrate the functioning planner; they are not quotations or financing commitments. No unknown fraction of collected material receives verified secure disposal or qualifying recovery credit.</w:t>
      </w:r>
    </w:p>
    <w:p>
      <w:pPr>
        <w:pStyle w:val="Heading2"/>
      </w:pPr>
      <w:r>
        <w:t>Legal and report controls</w:t>
      </w:r>
    </w:p>
    <w:p>
      <w:r>
        <w:t>The Johannesburg register includes the promulgated Waste Management By-laws 2021 and a separate draft and amendment watch [5]. Applicability, amendments, commencement, exact provisions and competent authority require current project review. Draft provisions are not treated as enacted law. National and provincial register gaps remain explicit; no claim of complete legal consolidation is made.</w:t>
      </w:r>
    </w:p>
    <w:p>
      <w:r>
        <w:t>Report generation retains authenticated subscription and municipality checks. The deterministic report contains model assumptions, source references, provincial comparisons, the selected legal register and the editable appraisal. Optional AI may discuss those results but must not override numerical values, invent authority or describe prior scenarios as validated estimates. No new API credential is needed for the revised numerical calculations.</w:t>
      </w:r>
    </w:p>
    <w:p>
      <w:pPr>
        <w:pStyle w:val="Heading2"/>
      </w:pPr>
      <w:r>
        <w:t>Visual conventions</w:t>
      </w:r>
    </w:p>
    <w:p>
      <w:r>
        <w:t>Five category radar charts use log10(1 + stock tonnes), with an independently scaled outer ring per category. Axis labels are compartment codes and exact amounts are available in tables and exports. Unquantified or excluded categories show no filled zero polygon. Bars comparing national and provincial results use the same quantity and units. Stock tonnes and annual input tonnes per year are available in separate views.</w:t>
      </w:r>
    </w:p>
    <w:p>
      <w:r>
        <w:br w:type="page"/>
      </w:r>
    </w:p>
    <w:p>
      <w:pPr>
        <w:pStyle w:val="Heading1"/>
      </w:pPr>
      <w:r>
        <w:t>References and reproducibility</w:t>
      </w:r>
    </w:p>
    <w:p>
      <w:r>
        <w:t>[1] Supplied manuscript (October 2026). Compartmental Transport of Macroplastic and Microplastic. Chapters 1 to 7, condensed and empirically calibrated. Chapter 2 §§ 8 and 10; equations 2.7, 2.13–2.15; Annex E Table E.2; Annex F calibration status and stock notes. Calibration domains are RM, eastern Fram Strait and western Spitsbergen. User supplied research material; not an independent Johannesburg validation dataset.</w:t>
      </w:r>
    </w:p>
    <w:p>
      <w:r>
        <w:t>[2] Schwarz, A. E., Lensen, S. M. C., Langeveld, E., Parker, L. A., and Urbanus, J. H. (2023). Plastics in the global environment assessed through material flow analysis, degradation and environmental transportation. Science of the Total Environment, 875, 162644. https://doi.org/10.1016/j.scitotenv.2023.162644 . Author repository: https://publications.tno.nl/publication/34640661/myCVy1/schwarz-2023-plastics.pdf .</w:t>
      </w:r>
    </w:p>
    <w:p>
      <w:r>
        <w:t>Publisher supplements for [2]: https://ars.els-cdn.com/content/image/1-s2.0-S0048969723012603-mmc1.docx (methods and material definitions); https://ars.els-cdn.com/content/image/1-s2.0-S0048969723012603-mmc2.csv (global accumulated stocks); https://ars.els-cdn.com/content/image/1-s2.0-S0048969723012603-mmc3.csv (country flows). Retrieved 28 October 2026. The South African extraction and parameter register are downloadable from the website methods panel.</w:t>
      </w:r>
    </w:p>
    <w:p>
      <w:r>
        <w:t>[3] DPME. Census2022 ArcGIS feature layer 0, bundled municipal population snapshot retrieved 27 October 2026. https://dpmegis.dpme.gov.za/arcgis/rest/services/Themes/Census2022/MapServer/0 . City of Johannesburg (2023), Issue 36, Analysis of population structure and basic services as per Census data: https://joburg.org.za/documents_/Documents/Issue_36-Analysis-of-population-structure-and-basic-services-as-per-Census-data.pdf .</w:t>
      </w:r>
    </w:p>
    <w:p>
      <w:r>
        <w:t>[4] Pikitup. Integrated Annual Report 2024/25, Table 2 p 36. https://pikitup.co.za/wp-content/uploads/PikItUp-Annual-Report-2024_25-June-2026_Printing_v.5.pdf . Primary report index: https://pikitup.co.za/annual-reports/ . Operational context only.</w:t>
      </w:r>
    </w:p>
    <w:p>
      <w:r>
        <w:t>[5] City of Johannesburg Metropolitan Municipality Waste Management By-laws 2021, Gauteng Provincial Gazette 349, 13 October 2021. https://joburg.org.za/about_/government/Documents/Waste_Management_Bylaws_2021_promulgated.pdf . Ongoing revision reported 30 March 2026: https://joburg.org.za/media_/Newsroom/Pages/2026-News-Articles/Joburg-hosts-Recycling-Indaba-to-mark-Global-Recycling-Day.aspx . No later promulgation established by this review.</w:t>
      </w:r>
    </w:p>
    <w:p>
      <w:r>
        <w:t>[6] IUCN–EA–QUANTIS (2020, updated April 2021). National Guidance for Plastic Pollution Hotspotting and Shaping Action, Country Report South Africa, pp 74–75, reference 2018. https://plastichotspotting.lifecycleinitiative.org/wp-content/uploads/2021/05/SouthAfrica_final_report_2020_UPDATED.pdf . This retained historical waste baseline does not drive the revised Schwarz scenario.</w:t>
      </w:r>
    </w:p>
    <w:p>
      <w:pPr>
        <w:pStyle w:val="Heading2"/>
      </w:pPr>
      <w:r>
        <w:t>Computational record</w:t>
      </w:r>
    </w:p>
    <w:p>
      <w:r>
        <w:t>Model version transport-v5-2017; generation date 28 October 2026. Source extraction file lib/schwarz-sa-2017.json; deterministic and sensitivity generator scripts/build-transport-model.py; output lib/transport-results.json. Python uses NumPy and SciPy matrix exponentials and linear solves. Tests check nonnegative stocks, integrated mass closure, palette sums, province aggregation, municipal isolation and report controls. Scientific calibration is outside those software tests.</w:t>
      </w:r>
    </w:p>
    <w:p>
      <w:r>
        <w:t>The parameter download includes every added effective hazard, source routing, population denominator, uncertainty setting and source hash. Reproduction requires those exact inputs, the fixed seed and the script. The methods panel provides a downloadable reproduction bundle. The supplied manuscript full posterior fit is not reproduced by this implementation.</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Plastinspect methodology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Johannesburg compartment transport and polymer estimation methods</dc:title>
  <dc:subject>Plastinspect model v0.5 based on supplied manuscript and Schwarz2023</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